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DDAC" w14:textId="7A982E3E" w:rsidR="00623AEC" w:rsidRPr="00623AEC" w:rsidRDefault="00623AEC" w:rsidP="00623A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  <w:r>
        <w:br/>
      </w:r>
      <w:r w:rsidRPr="00623AEC"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 w:rsidRPr="00623AEC"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 w:rsidRPr="00623AE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623AEC"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 w:rsidRPr="00623AEC"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  <w:r>
        <w:rPr>
          <w:sz w:val="20"/>
        </w:rPr>
        <w:br/>
      </w:r>
    </w:p>
    <w:p w14:paraId="24D3F1B9" w14:textId="2C24E138" w:rsidR="007D70F3" w:rsidRPr="005C21CC" w:rsidRDefault="00623AEC" w:rsidP="00623A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423742" w:rsidRPr="0042374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Комплексная защита объектов ТЭК от БПЛА: Антитеррористическая защищенность и реализация требований СП 542.1325800.2024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 w:rsidR="007D70F3" w:rsidRPr="005C21CC"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7D70F3" w14:paraId="36AC219E" w14:textId="77777777" w:rsidTr="00505E6F">
        <w:tc>
          <w:tcPr>
            <w:tcW w:w="4112" w:type="dxa"/>
            <w:shd w:val="clear" w:color="auto" w:fill="auto"/>
          </w:tcPr>
          <w:p w14:paraId="71ECFB8E" w14:textId="2B013FF2" w:rsidR="007D70F3" w:rsidRPr="001C1FF3" w:rsidRDefault="00423742" w:rsidP="00505E6F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D70F3" w:rsidRPr="0071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6EB3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  <w:r w:rsidR="007D7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7D70F3" w:rsidRPr="0071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  <w:shd w:val="clear" w:color="auto" w:fill="auto"/>
          </w:tcPr>
          <w:p w14:paraId="2B7B5D04" w14:textId="499EAA28" w:rsidR="007D70F3" w:rsidRDefault="00E86ABE" w:rsidP="00505E6F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10:00 до </w:t>
            </w:r>
            <w:r w:rsidR="00826EB3">
              <w:rPr>
                <w:rFonts w:ascii="Times New Roman" w:hAnsi="Times New Roman" w:cs="Times New Roman"/>
                <w:b/>
                <w:sz w:val="28"/>
                <w:szCs w:val="28"/>
              </w:rPr>
              <w:t>11:35</w:t>
            </w:r>
            <w:r w:rsidR="007D7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70F3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3D134060" w14:textId="6A7D647C" w:rsidR="00826EB3" w:rsidRDefault="00826EB3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123AA16A" w14:textId="20A563D2" w:rsidR="00623AEC" w:rsidRPr="00623AEC" w:rsidRDefault="00826EB3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Приглашаем на вебинар руководителей и специалистов по ГО и ЧС предприятий топливно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t>-энергетического комплекса</w:t>
      </w: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. Вместе с экспертом Ильей Ильичом Даниловым разберём требования СП 542.1325800.2024, обсудим нюансы составления паспорта безопасности объекта и механической защиты от БПЛА, а также ответим на ваши вопросы.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</w:p>
    <w:p w14:paraId="695BED71" w14:textId="77CA5E70" w:rsidR="00623AEC" w:rsidRPr="00623AEC" w:rsidRDefault="00DF5D87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У вас есть</w:t>
      </w:r>
      <w:r w:rsidR="00623AEC"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 xml:space="preserve"> возможность прислать вопрос заранее</w:t>
      </w:r>
      <w:r w:rsidR="00826EB3"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</w:t>
      </w:r>
    </w:p>
    <w:p w14:paraId="06B100C4" w14:textId="23FFBF14" w:rsidR="00623AEC" w:rsidRPr="00623AEC" w:rsidRDefault="00623AEC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на </w:t>
      </w:r>
      <w:hyperlink r:id="rId7" w:history="1">
        <w:r w:rsidRPr="00826EB3">
          <w:rPr>
            <w:rStyle w:val="a3"/>
            <w:rFonts w:eastAsia="Calibri"/>
            <w:bCs/>
            <w:i w:val="0"/>
            <w:iCs w:val="0"/>
            <w:sz w:val="24"/>
            <w:szCs w:val="24"/>
            <w:lang w:eastAsia="ru-RU"/>
          </w:rPr>
          <w:t>странице регистрации</w:t>
        </w:r>
      </w:hyperlink>
      <w:r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под кнопкой «Задать свой вопрос».</w:t>
      </w:r>
    </w:p>
    <w:p w14:paraId="3BDDD1DF" w14:textId="4F770438" w:rsidR="00623AEC" w:rsidRPr="00623AEC" w:rsidRDefault="00623AEC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>Приходите в прямой эфир — ответим на всё, что важно именно вам.</w:t>
      </w:r>
    </w:p>
    <w:p w14:paraId="0E683592" w14:textId="76CA67CD" w:rsidR="00FA6034" w:rsidRDefault="00FA6034" w:rsidP="007D70F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62B39204" w14:textId="7D67F887" w:rsidR="00826EB3" w:rsidRPr="00826EB3" w:rsidRDefault="00623AEC" w:rsidP="00826EB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В программе мероприятия:</w:t>
      </w:r>
      <w:r w:rsidR="00FA6034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FA6034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826EB3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- </w:t>
      </w:r>
      <w:r w:rsidR="00826EB3"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Паспорт безопасности объекта ТЭК: составление, согласование и утверждение как основа комплексной защиты от БПЛА;</w:t>
      </w:r>
    </w:p>
    <w:p w14:paraId="1DF590B4" w14:textId="77777777" w:rsidR="00826EB3" w:rsidRPr="00826EB3" w:rsidRDefault="00826EB3" w:rsidP="00826EB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- Как отразить в паспорте безопасности требования по защите от БПЛА: оценка уязвимости и категорирование;</w:t>
      </w:r>
    </w:p>
    <w:p w14:paraId="70BD0D6C" w14:textId="77777777" w:rsidR="00826EB3" w:rsidRPr="00826EB3" w:rsidRDefault="00826EB3" w:rsidP="00826EB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- Действующие требования к механической защите: разбор СП 542.1325800.2024;</w:t>
      </w:r>
    </w:p>
    <w:p w14:paraId="1FB8E5BE" w14:textId="77777777" w:rsidR="00826EB3" w:rsidRPr="00826EB3" w:rsidRDefault="00826EB3" w:rsidP="00826EB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- Определение объема механической защиты и особенности для критических элементов ТЭК;</w:t>
      </w:r>
    </w:p>
    <w:p w14:paraId="13526718" w14:textId="77777777" w:rsidR="00826EB3" w:rsidRPr="00826EB3" w:rsidRDefault="00826EB3" w:rsidP="00826EB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- Обоснование затрат на мероприятия по защите от БПЛА;</w:t>
      </w:r>
    </w:p>
    <w:p w14:paraId="6ECE7830" w14:textId="5B49B89E" w:rsidR="00DF5D87" w:rsidRPr="00DF5D87" w:rsidRDefault="00826EB3" w:rsidP="00826EB3">
      <w:pPr>
        <w:pStyle w:val="a4"/>
        <w:tabs>
          <w:tab w:val="left" w:pos="426"/>
        </w:tabs>
        <w:rPr>
          <w:rFonts w:eastAsia="Calibri"/>
          <w:b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- Практические рекомендации: как интегрировать механическую защиту в общую систему безопасности.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DF5D87"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На вебинаре выступят:</w:t>
      </w:r>
    </w:p>
    <w:p w14:paraId="01E5BBB5" w14:textId="77777777" w:rsidR="00DF5D87" w:rsidRPr="00DF5D87" w:rsidRDefault="00DF5D87" w:rsidP="00DF5D87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3B9CFD71" w14:textId="33B77D27" w:rsidR="00826EB3" w:rsidRPr="00826EB3" w:rsidRDefault="00826EB3" w:rsidP="00826EB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- </w:t>
      </w:r>
      <w:r w:rsidRPr="00826EB3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Данилов Илья Ильич</w:t>
      </w: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, аттестованный эксперт в области ГО и ЧС, директор МКУ «Управление по делам гражданской обороны и чрезвычайным с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итуациям Суздальского района»; 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</w:p>
    <w:p w14:paraId="4EDBCFBF" w14:textId="3CC0F28F" w:rsidR="007D70F3" w:rsidRPr="00FA6034" w:rsidRDefault="00826EB3" w:rsidP="00DF5D87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- </w:t>
      </w:r>
      <w:r w:rsidRPr="00826EB3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Соколова Маргарита Александровна</w:t>
      </w:r>
      <w:r w:rsidRPr="00826EB3">
        <w:rPr>
          <w:rFonts w:eastAsia="Calibri"/>
          <w:bCs/>
          <w:i w:val="0"/>
          <w:iCs w:val="0"/>
          <w:sz w:val="24"/>
          <w:szCs w:val="24"/>
          <w:lang w:eastAsia="ru-RU"/>
        </w:rPr>
        <w:t>, эксперт проектов «Техэксперт» п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t>о производственной безопасности.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</w:p>
    <w:p w14:paraId="61BDA495" w14:textId="2A00539E" w:rsidR="007D70F3" w:rsidRDefault="007D70F3" w:rsidP="00FA60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участие:</w:t>
      </w:r>
      <w:r w:rsidR="00FA60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- Пройдите регистрацию </w:t>
      </w:r>
      <w:r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423742">
        <w:rPr>
          <w:rFonts w:ascii="Times New Roman" w:hAnsi="Times New Roman"/>
          <w:b/>
          <w:iCs/>
          <w:sz w:val="24"/>
          <w:szCs w:val="24"/>
        </w:rPr>
        <w:t>15</w:t>
      </w:r>
      <w:r w:rsidR="00826EB3">
        <w:rPr>
          <w:rFonts w:ascii="Times New Roman" w:hAnsi="Times New Roman"/>
          <w:b/>
          <w:iCs/>
          <w:sz w:val="24"/>
          <w:szCs w:val="24"/>
        </w:rPr>
        <w:t xml:space="preserve"> июля</w:t>
      </w:r>
      <w:r w:rsidRPr="007119FF">
        <w:rPr>
          <w:rFonts w:ascii="Times New Roman" w:hAnsi="Times New Roman"/>
          <w:iCs/>
          <w:sz w:val="24"/>
          <w:szCs w:val="24"/>
        </w:rPr>
        <w:t xml:space="preserve"> по </w:t>
      </w:r>
      <w:hyperlink r:id="rId8" w:history="1">
        <w:r w:rsidRPr="000E4C66">
          <w:rPr>
            <w:rStyle w:val="a3"/>
            <w:rFonts w:ascii="Times New Roman" w:hAnsi="Times New Roman"/>
            <w:iCs/>
            <w:sz w:val="24"/>
            <w:szCs w:val="24"/>
          </w:rPr>
          <w:t>ссылке</w:t>
        </w:r>
      </w:hyperlink>
      <w:r w:rsidRPr="007119FF">
        <w:rPr>
          <w:rFonts w:ascii="Times New Roman" w:hAnsi="Times New Roman"/>
          <w:iCs/>
          <w:sz w:val="24"/>
          <w:szCs w:val="24"/>
        </w:rPr>
        <w:t>;</w:t>
      </w:r>
      <w:r w:rsidR="000E4C66" w:rsidRPr="000E4C66">
        <w:rPr>
          <w:rFonts w:ascii="Times New Roman" w:hAnsi="Times New Roman"/>
          <w:iCs/>
          <w:sz w:val="24"/>
          <w:szCs w:val="24"/>
        </w:rPr>
        <w:t xml:space="preserve"> </w:t>
      </w:r>
      <w:r w:rsidR="00FA6034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5559D9">
        <w:rPr>
          <w:rFonts w:ascii="Times New Roman" w:hAnsi="Times New Roman"/>
          <w:b/>
          <w:bCs/>
          <w:iCs/>
          <w:sz w:val="28"/>
          <w:szCs w:val="28"/>
          <w:highlight w:val="yellow"/>
        </w:rPr>
        <w:t xml:space="preserve">КОД: </w:t>
      </w:r>
      <w:r w:rsidR="005559D9" w:rsidRPr="005559D9">
        <w:rPr>
          <w:rFonts w:ascii="Times New Roman" w:hAnsi="Times New Roman"/>
          <w:b/>
          <w:bCs/>
          <w:iCs/>
          <w:sz w:val="28"/>
          <w:szCs w:val="28"/>
          <w:highlight w:val="yellow"/>
        </w:rPr>
        <w:t>622</w:t>
      </w:r>
      <w:r w:rsidR="00FA6034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 xml:space="preserve">- После регистрации вы получите письмо с подтверждением участия и ссылку для подключения. </w:t>
      </w:r>
    </w:p>
    <w:p w14:paraId="435FCBEF" w14:textId="77777777" w:rsidR="007D70F3" w:rsidRDefault="007D70F3" w:rsidP="007D7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F6791" w14:textId="771D0C74" w:rsidR="00FA6034" w:rsidRDefault="007D70F3" w:rsidP="00FA6034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бесплатное.</w:t>
      </w:r>
      <w:r w:rsidR="00FA6034"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  <w:r w:rsidR="00FA6034">
        <w:br/>
      </w:r>
      <w:r w:rsidR="00FA6034"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  <w:r w:rsidR="00FA6034">
        <w:br/>
      </w:r>
      <w:r w:rsidR="00FA6034"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Слушатели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FA6034">
        <w:br/>
      </w:r>
      <w:r w:rsidR="00FA6034"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проведения: </w:t>
      </w:r>
      <w:r w:rsidR="0042374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16</w:t>
      </w:r>
      <w:r w:rsidRPr="00391D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826EB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2026</w:t>
      </w:r>
      <w:r w:rsidRPr="00391D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 w:rsidR="00826EB3"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11:35</w:t>
      </w:r>
      <w:r w:rsidR="003A6BA6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FA6034">
        <w:br/>
      </w:r>
      <w:r w:rsidR="00FA6034"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возникновения вопросов по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@kodeks.ru</w:t>
        </w:r>
      </w:hyperlink>
      <w:r w:rsidR="00FA6034">
        <w:br/>
      </w:r>
      <w:r w:rsidR="00FA6034">
        <w:br/>
      </w:r>
    </w:p>
    <w:p w14:paraId="48D4F40D" w14:textId="77777777" w:rsidR="00FA6034" w:rsidRDefault="00FA6034">
      <w:pPr>
        <w:suppressAutoHyphens w:val="0"/>
        <w:spacing w:after="160" w:line="259" w:lineRule="auto"/>
      </w:pPr>
      <w:r>
        <w:br w:type="page"/>
      </w:r>
    </w:p>
    <w:p w14:paraId="2CA3706A" w14:textId="77777777" w:rsidR="007D70F3" w:rsidRPr="00FA6034" w:rsidRDefault="007D70F3" w:rsidP="00FA6034">
      <w:pPr>
        <w:spacing w:after="0" w:line="240" w:lineRule="auto"/>
      </w:pPr>
    </w:p>
    <w:p w14:paraId="151C563F" w14:textId="77777777" w:rsidR="007E2914" w:rsidRDefault="007E2914" w:rsidP="007E2914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ИНСТРУКЦИЯ ПО РЕГИСТРАЦИИ НА ВЕБИНАР</w:t>
      </w:r>
    </w:p>
    <w:p w14:paraId="7B256A27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5664E01" w14:textId="77777777" w:rsidR="007E2914" w:rsidRDefault="007E2914" w:rsidP="007E2914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</w:t>
      </w:r>
      <w:r w:rsidR="003A6BA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</w:t>
      </w:r>
    </w:p>
    <w:p w14:paraId="20CB75AD" w14:textId="77777777" w:rsidR="007E2914" w:rsidRDefault="007E2914" w:rsidP="007E2914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386E243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200ADBB9" wp14:editId="5B9C1B27">
            <wp:extent cx="6486525" cy="2847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59C7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B8E1FC7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665F221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006B7DA" w14:textId="77777777" w:rsidR="007E2914" w:rsidRDefault="007E2914" w:rsidP="007E2914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3CC7F432" w14:textId="77777777" w:rsidR="007E2914" w:rsidRDefault="007E2914" w:rsidP="007E2914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ECA83EF" wp14:editId="0A34165C">
            <wp:extent cx="5514975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FF6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B24DE3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06DC3B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7DFB08BE" w14:textId="77777777" w:rsidR="005C21CC" w:rsidRDefault="005C21CC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28B4E1F" w14:textId="77777777" w:rsidR="005C21CC" w:rsidRDefault="005C21CC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540C0B8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7E2914" w14:paraId="655AEA8E" w14:textId="77777777" w:rsidTr="00F44B28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02E3B4C" w14:textId="77777777" w:rsidR="007E2914" w:rsidRDefault="007E2914" w:rsidP="00F44B28">
            <w:pPr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8A58E06" w14:textId="77777777" w:rsidR="007E2914" w:rsidRDefault="007E2914" w:rsidP="00F44B2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02467DF6" w14:textId="77777777" w:rsidR="007E2914" w:rsidRDefault="007E2914" w:rsidP="00F44B2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BE53F8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54C2E4C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CF6BC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57658D3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4A732F" wp14:editId="5F1D6BCE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BF4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46151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3. После отправки формы на ук</w:t>
      </w:r>
      <w:r w:rsidR="003A6BA6">
        <w:rPr>
          <w:rFonts w:ascii="Times New Roman" w:eastAsia="Times New Roman" w:hAnsi="Times New Roman"/>
          <w:color w:val="000000"/>
          <w:sz w:val="24"/>
          <w:szCs w:val="24"/>
        </w:rPr>
        <w:t>азанный адрес электронной почты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вам будет направлено письмо со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A4C41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503EBA" wp14:editId="7E830D34">
            <wp:extent cx="4010025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75E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D0018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4. Перейдите по ссылке из письма.</w:t>
      </w:r>
    </w:p>
    <w:p w14:paraId="04D8731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49E8778" wp14:editId="50BFC41C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E0C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F0D3F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6F008D4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D344E1" wp14:editId="2F065C5B">
            <wp:extent cx="3829050" cy="453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17B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19F268FA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11E920" wp14:editId="242930D7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F9B8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C5C97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CF520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8A5798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18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 w:rsidR="003A6BA6">
        <w:rPr>
          <w:rFonts w:ascii="Times New Roman" w:eastAsia="Times New Roman" w:hAnsi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ссылкой на участие или кнопкой «Перейти к вебинару».</w:t>
      </w:r>
    </w:p>
    <w:p w14:paraId="514F2A86" w14:textId="77777777" w:rsidR="007E2914" w:rsidRDefault="007E2914" w:rsidP="007E2914">
      <w:pPr>
        <w:autoSpaceDE w:val="0"/>
        <w:spacing w:after="0" w:line="240" w:lineRule="auto"/>
        <w:jc w:val="both"/>
      </w:pPr>
    </w:p>
    <w:p w14:paraId="651F3B6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437521" wp14:editId="45F168B3">
            <wp:extent cx="6486525" cy="3752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5FD3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40D073" w14:textId="77777777" w:rsidR="005C21CC" w:rsidRPr="00C37C68" w:rsidRDefault="005C21CC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7E2914" w14:paraId="00BC455A" w14:textId="77777777" w:rsidTr="00F44B28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58983C0" w14:textId="77777777" w:rsidR="007E2914" w:rsidRDefault="007E2914" w:rsidP="00F44B2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47902A87" w14:textId="77777777" w:rsidR="007E2914" w:rsidRDefault="007E2914" w:rsidP="00F44B2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BD4C0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Авторизируйтесь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14:paraId="661AD3E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403A0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70FF1B1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4A8294" wp14:editId="0A72546C">
            <wp:extent cx="3448050" cy="2333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7D6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DD6F4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«Зарегистрироваться на вебинар». После этого вам откроется форма для регистрации на интересующий вас вебинар. Заполните форму и нажмите «Отправить». </w:t>
      </w:r>
    </w:p>
    <w:p w14:paraId="05029345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89E72B" wp14:editId="3F03A8DF">
            <wp:extent cx="3000375" cy="3524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727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AB319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29B48B3" w14:textId="77777777" w:rsidR="007E2914" w:rsidRDefault="007E2914" w:rsidP="007E2914">
      <w:pPr>
        <w:autoSpaceDE w:val="0"/>
        <w:spacing w:after="0" w:line="240" w:lineRule="auto"/>
        <w:jc w:val="both"/>
      </w:pPr>
    </w:p>
    <w:p w14:paraId="3A40CDC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2DCFE78" wp14:editId="431B0268">
            <wp:extent cx="6477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069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644991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22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416710A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F77DE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E382E30" wp14:editId="4C50E28B">
            <wp:extent cx="5086350" cy="2943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3A6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BEE34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20F9E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20AD4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A333EA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50B4C4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D7B444C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6CF7EA0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DA074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</w:t>
      </w:r>
      <w:r w:rsidR="003A6BA6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="003A6BA6" w:rsidRPr="003A6BA6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3055141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EFA6B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66DBB2D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567CAD4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3" w:history="1">
        <w:r>
          <w:rPr>
            <w:rStyle w:val="a3"/>
            <w:rFonts w:ascii="Arial" w:hAnsi="Arial" w:cs="Arial"/>
            <w:color w:val="FF7200"/>
            <w:sz w:val="23"/>
            <w:szCs w:val="23"/>
          </w:rPr>
          <w:t>webinar@kodeks.ru</w:t>
        </w:r>
      </w:hyperlink>
      <w:r w:rsidR="003A6BA6">
        <w:rPr>
          <w:rStyle w:val="a3"/>
          <w:rFonts w:ascii="Arial" w:hAnsi="Arial" w:cs="Arial"/>
          <w:color w:val="FF7200"/>
          <w:sz w:val="23"/>
          <w:szCs w:val="23"/>
        </w:rPr>
        <w:t>.</w:t>
      </w:r>
    </w:p>
    <w:p w14:paraId="49DCE4C2" w14:textId="77777777" w:rsidR="007E2914" w:rsidRDefault="007E2914" w:rsidP="007E2914">
      <w:pPr>
        <w:autoSpaceDE w:val="0"/>
        <w:spacing w:after="0" w:line="240" w:lineRule="auto"/>
        <w:jc w:val="both"/>
      </w:pPr>
    </w:p>
    <w:p w14:paraId="3A40B3BA" w14:textId="77777777" w:rsidR="007E2914" w:rsidRDefault="007E2914" w:rsidP="007E2914">
      <w:pPr>
        <w:autoSpaceDE w:val="0"/>
        <w:spacing w:after="0" w:line="240" w:lineRule="auto"/>
        <w:jc w:val="both"/>
      </w:pPr>
    </w:p>
    <w:p w14:paraId="5F3BCAD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E0DBD8" w14:textId="77777777" w:rsidR="007E2914" w:rsidRDefault="007E2914" w:rsidP="007E291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345EA31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DA491D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сети:</w:t>
      </w:r>
    </w:p>
    <w:p w14:paraId="1D7B93B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8DE863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Webinar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7BCF77F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613A415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2E9247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IP-адреса:</w:t>
      </w:r>
    </w:p>
    <w:p w14:paraId="152785E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37.130.192.0/22</w:t>
      </w:r>
    </w:p>
    <w:p w14:paraId="28489EA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185.45.80.0/22</w:t>
      </w:r>
    </w:p>
    <w:p w14:paraId="04FB14D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Порты/протоколы</w:t>
      </w:r>
    </w:p>
    <w:p w14:paraId="2F5AF0A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80/HTTP</w:t>
      </w:r>
    </w:p>
    <w:p w14:paraId="4ECEA56F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443/TCP</w:t>
      </w:r>
    </w:p>
    <w:p w14:paraId="68AD75B4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443/UDP</w:t>
      </w:r>
    </w:p>
    <w:p w14:paraId="6189672F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может некорректно работать при использовании </w:t>
      </w:r>
      <w:r w:rsidR="003A6BA6">
        <w:rPr>
          <w:rFonts w:ascii="Times New Roman" w:eastAsia="Times New Roman" w:hAnsi="Times New Roman"/>
          <w:color w:val="000000"/>
          <w:sz w:val="24"/>
          <w:szCs w:val="24"/>
        </w:rPr>
        <w:t>прокси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-серверов и других специфичных ограничений сети. </w:t>
      </w:r>
    </w:p>
    <w:p w14:paraId="6F486C6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72E48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Рекомендуемая свободная ширина интернет-канала:</w:t>
      </w:r>
    </w:p>
    <w:p w14:paraId="7AB63C33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Низкое (640x360,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500 Кбит/с</w:t>
      </w:r>
    </w:p>
    <w:p w14:paraId="3C3067F7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Среднее (960x540,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900 Кбит/с</w:t>
      </w:r>
    </w:p>
    <w:p w14:paraId="281136E3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Высокое (1280x720,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1700 Кбит/с</w:t>
      </w:r>
    </w:p>
    <w:p w14:paraId="3773793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3FEB34F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оборудованию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:</w:t>
      </w:r>
    </w:p>
    <w:p w14:paraId="3D31C69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Рекомендуемые</w:t>
      </w:r>
    </w:p>
    <w:p w14:paraId="399CC0D0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i5 6-го поколения или аналогичный</w:t>
      </w:r>
    </w:p>
    <w:p w14:paraId="4D9DAE40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8 ГБ</w:t>
      </w:r>
    </w:p>
    <w:p w14:paraId="35329A0D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1920×1080</w:t>
      </w:r>
    </w:p>
    <w:p w14:paraId="714CC587" w14:textId="77777777" w:rsidR="007E2914" w:rsidRDefault="007E2914" w:rsidP="007E291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42BFF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Минимальные</w:t>
      </w:r>
    </w:p>
    <w:p w14:paraId="00CAF3D9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i3 6-го поколения или аналогичный</w:t>
      </w:r>
    </w:p>
    <w:p w14:paraId="04F97725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4 ГБ</w:t>
      </w:r>
    </w:p>
    <w:p w14:paraId="715C7977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1024x768</w:t>
      </w:r>
    </w:p>
    <w:p w14:paraId="03ACCA52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Работа сервиса на более слабом клиентском оборудовании не гарантируется и возможна с ограничениями. </w:t>
      </w:r>
    </w:p>
    <w:p w14:paraId="16DA5839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77518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Аудио- и видеоустройства:</w:t>
      </w:r>
    </w:p>
    <w:p w14:paraId="697FAB8A" w14:textId="77777777" w:rsidR="007E2914" w:rsidRDefault="007E2914" w:rsidP="007E2914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Наушники или колонки (для просмотра вебинара)</w:t>
      </w:r>
    </w:p>
    <w:p w14:paraId="61E4C4D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615C8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522785C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5143075E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</w:p>
    <w:p w14:paraId="137E7B37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Яндекс.Браузер</w:t>
      </w:r>
      <w:proofErr w:type="spellEnd"/>
    </w:p>
    <w:p w14:paraId="7649AD3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386243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Операционная система</w:t>
      </w:r>
    </w:p>
    <w:p w14:paraId="4C273B26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Минимальные поддерживаемые версии</w:t>
      </w:r>
    </w:p>
    <w:p w14:paraId="1815085C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Windows 7</w:t>
      </w:r>
    </w:p>
    <w:p w14:paraId="79EE65F2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10.10</w:t>
      </w:r>
    </w:p>
    <w:p w14:paraId="49C9DB6A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</w:t>
      </w:r>
    </w:p>
    <w:p w14:paraId="5FF35DED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</w:t>
      </w:r>
    </w:p>
    <w:p w14:paraId="166746EF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1318FFA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13EEA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Используемые протоколы и кодеки</w:t>
      </w:r>
    </w:p>
    <w:p w14:paraId="34B644DF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(H.264/Opus)</w:t>
      </w:r>
    </w:p>
    <w:p w14:paraId="4F7CE332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Энкодер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 RTMP/RTMPS (H.264/AAC)</w:t>
      </w:r>
    </w:p>
    <w:p w14:paraId="0524DA3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D557A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Шифрование трафика</w:t>
      </w:r>
    </w:p>
    <w:p w14:paraId="208FDD43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4A280D1C" w14:textId="77777777" w:rsidR="007E2914" w:rsidRDefault="007E2914" w:rsidP="007E2914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8BC6BB" w14:textId="77777777" w:rsidR="007E2914" w:rsidRDefault="007E2914" w:rsidP="007E2914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53F2C9" w14:textId="77777777" w:rsidR="007E2914" w:rsidRDefault="007E2914" w:rsidP="007E2914">
      <w:pPr>
        <w:spacing w:after="0"/>
        <w:jc w:val="center"/>
        <w:rPr>
          <w:rFonts w:ascii="Times New Roman" w:eastAsia="Times New Roman" w:hAnsi="Times New Roman"/>
          <w:b/>
          <w:bCs/>
          <w:color w:val="365F91"/>
          <w:sz w:val="28"/>
          <w:szCs w:val="24"/>
        </w:rPr>
      </w:pPr>
    </w:p>
    <w:p w14:paraId="0D95F6CB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D298144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50FE65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3C49B9" w14:textId="77777777" w:rsidR="007E2914" w:rsidRDefault="007E2914" w:rsidP="007E2914">
      <w:pPr>
        <w:spacing w:after="0" w:line="240" w:lineRule="auto"/>
        <w:ind w:right="-2"/>
        <w:jc w:val="both"/>
      </w:pPr>
    </w:p>
    <w:p w14:paraId="55E520A9" w14:textId="77777777" w:rsidR="007E2914" w:rsidRDefault="007E2914" w:rsidP="007E2914">
      <w:pPr>
        <w:autoSpaceDE w:val="0"/>
        <w:spacing w:after="0" w:line="240" w:lineRule="auto"/>
        <w:ind w:left="1080"/>
      </w:pPr>
    </w:p>
    <w:p w14:paraId="5222E728" w14:textId="77777777" w:rsidR="00265976" w:rsidRDefault="00265976"/>
    <w:sectPr w:rsidR="00265976">
      <w:headerReference w:type="default" r:id="rId24"/>
      <w:footerReference w:type="default" r:id="rId25"/>
      <w:pgSz w:w="11906" w:h="16838"/>
      <w:pgMar w:top="340" w:right="851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28A0" w14:textId="77777777" w:rsidR="00906572" w:rsidRDefault="00906572">
      <w:pPr>
        <w:spacing w:after="0" w:line="240" w:lineRule="auto"/>
      </w:pPr>
      <w:r>
        <w:separator/>
      </w:r>
    </w:p>
  </w:endnote>
  <w:endnote w:type="continuationSeparator" w:id="0">
    <w:p w14:paraId="394407A3" w14:textId="77777777" w:rsidR="00906572" w:rsidRDefault="0090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C837" w14:textId="77777777" w:rsidR="00000000" w:rsidRPr="007119FF" w:rsidRDefault="00A637B5" w:rsidP="007119FF">
    <w:pPr>
      <w:ind w:left="-142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Присоединяйтесь</w:t>
    </w:r>
    <w:r w:rsidR="005C21CC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к профессиональному сообществу Техэксперт: Охрана труда и безопасность </w:t>
    </w:r>
    <w:hyperlink r:id="rId1" w:history="1">
      <w:r w:rsidR="005C21CC" w:rsidRPr="005C21CC">
        <w:rPr>
          <w:rStyle w:val="a3"/>
          <w:b/>
          <w:bCs/>
        </w:rPr>
        <w:t>http://t.me/bezopasnosty</w:t>
      </w:r>
    </w:hyperlink>
  </w:p>
  <w:p w14:paraId="6378D9AB" w14:textId="77777777" w:rsidR="00000000" w:rsidRDefault="00000000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BCBD" w14:textId="77777777" w:rsidR="00906572" w:rsidRDefault="00906572">
      <w:pPr>
        <w:spacing w:after="0" w:line="240" w:lineRule="auto"/>
      </w:pPr>
      <w:r>
        <w:separator/>
      </w:r>
    </w:p>
  </w:footnote>
  <w:footnote w:type="continuationSeparator" w:id="0">
    <w:p w14:paraId="5B3F73CA" w14:textId="77777777" w:rsidR="00906572" w:rsidRDefault="0090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4518" w14:textId="77777777" w:rsidR="00000000" w:rsidRDefault="00A637B5">
    <w:pPr>
      <w:pStyle w:val="a6"/>
      <w:jc w:val="center"/>
    </w:pPr>
    <w:r>
      <w:rPr>
        <w:noProof/>
        <w:lang w:eastAsia="ru-RU"/>
      </w:rPr>
      <w:drawing>
        <wp:anchor distT="0" distB="0" distL="114935" distR="114935" simplePos="0" relativeHeight="251659264" behindDoc="1" locked="0" layoutInCell="1" allowOverlap="1" wp14:anchorId="015320A9" wp14:editId="6D18A572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658FED24" wp14:editId="5D8964A7">
          <wp:extent cx="2305050" cy="41910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918B0C" w14:textId="77777777" w:rsidR="00000000" w:rsidRDefault="00000000">
    <w:pPr>
      <w:pStyle w:val="a6"/>
      <w:jc w:val="center"/>
    </w:pPr>
    <w:hyperlink r:id="rId3" w:history="1">
      <w:r w:rsidR="00A637B5">
        <w:rPr>
          <w:rStyle w:val="a3"/>
          <w:rFonts w:ascii="Times New Roman" w:hAnsi="Times New Roman" w:cs="Times New Roman"/>
          <w:sz w:val="28"/>
          <w:szCs w:val="28"/>
          <w:lang w:val="en-US"/>
        </w:rPr>
        <w:t>www.</w:t>
      </w:r>
      <w:r w:rsidR="00A637B5">
        <w:rPr>
          <w:rStyle w:val="a3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925655984">
    <w:abstractNumId w:val="0"/>
  </w:num>
  <w:num w:numId="2" w16cid:durableId="1218201972">
    <w:abstractNumId w:val="1"/>
  </w:num>
  <w:num w:numId="3" w16cid:durableId="858078560">
    <w:abstractNumId w:val="2"/>
  </w:num>
  <w:num w:numId="4" w16cid:durableId="1395739524">
    <w:abstractNumId w:val="3"/>
  </w:num>
  <w:num w:numId="5" w16cid:durableId="1361083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914"/>
    <w:rsid w:val="000B522D"/>
    <w:rsid w:val="000E4C66"/>
    <w:rsid w:val="00132EAF"/>
    <w:rsid w:val="001B4F80"/>
    <w:rsid w:val="0024375A"/>
    <w:rsid w:val="00265976"/>
    <w:rsid w:val="003725AF"/>
    <w:rsid w:val="003A0608"/>
    <w:rsid w:val="003A6BA6"/>
    <w:rsid w:val="003C7886"/>
    <w:rsid w:val="00423742"/>
    <w:rsid w:val="004960AB"/>
    <w:rsid w:val="004C0F45"/>
    <w:rsid w:val="004D678E"/>
    <w:rsid w:val="005559D9"/>
    <w:rsid w:val="005A26AB"/>
    <w:rsid w:val="005C21CC"/>
    <w:rsid w:val="00610DF9"/>
    <w:rsid w:val="00623AEC"/>
    <w:rsid w:val="006A35D3"/>
    <w:rsid w:val="00714F23"/>
    <w:rsid w:val="00786072"/>
    <w:rsid w:val="007B1774"/>
    <w:rsid w:val="007D70F3"/>
    <w:rsid w:val="007E2914"/>
    <w:rsid w:val="00803101"/>
    <w:rsid w:val="00826EB3"/>
    <w:rsid w:val="008F5CCC"/>
    <w:rsid w:val="00906572"/>
    <w:rsid w:val="00907F2C"/>
    <w:rsid w:val="009B757D"/>
    <w:rsid w:val="00A637B5"/>
    <w:rsid w:val="00A7524F"/>
    <w:rsid w:val="00AF23D0"/>
    <w:rsid w:val="00B01B92"/>
    <w:rsid w:val="00B523F4"/>
    <w:rsid w:val="00B947A4"/>
    <w:rsid w:val="00C43908"/>
    <w:rsid w:val="00CA13B4"/>
    <w:rsid w:val="00D176EF"/>
    <w:rsid w:val="00D47FEC"/>
    <w:rsid w:val="00DF5D87"/>
    <w:rsid w:val="00E053AA"/>
    <w:rsid w:val="00E824F0"/>
    <w:rsid w:val="00E86ABE"/>
    <w:rsid w:val="00EA18D6"/>
    <w:rsid w:val="00EC25B0"/>
    <w:rsid w:val="00EF30BA"/>
    <w:rsid w:val="00F96EE1"/>
    <w:rsid w:val="00FA603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64CD"/>
  <w15:docId w15:val="{3EA4A1B1-D185-4D11-AEFD-203F041E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1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914"/>
    <w:rPr>
      <w:color w:val="0000FF"/>
      <w:u w:val="single"/>
    </w:rPr>
  </w:style>
  <w:style w:type="paragraph" w:styleId="a4">
    <w:name w:val="Body Text"/>
    <w:basedOn w:val="a"/>
    <w:link w:val="a5"/>
    <w:rsid w:val="007E2914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5">
    <w:name w:val="Основной текст Знак"/>
    <w:basedOn w:val="a0"/>
    <w:link w:val="a4"/>
    <w:rsid w:val="007E2914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a6">
    <w:name w:val="header"/>
    <w:basedOn w:val="a"/>
    <w:link w:val="a7"/>
    <w:rsid w:val="007E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E2914"/>
    <w:rPr>
      <w:rFonts w:ascii="Calibri" w:eastAsia="Calibri" w:hAnsi="Calibri" w:cs="Calibri"/>
      <w:lang w:eastAsia="zh-CN"/>
    </w:rPr>
  </w:style>
  <w:style w:type="paragraph" w:styleId="a8">
    <w:name w:val="List Paragraph"/>
    <w:basedOn w:val="a"/>
    <w:qFormat/>
    <w:rsid w:val="007E2914"/>
    <w:pPr>
      <w:ind w:left="720"/>
      <w:contextualSpacing/>
    </w:pPr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25B0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footer"/>
    <w:basedOn w:val="a"/>
    <w:link w:val="ac"/>
    <w:uiPriority w:val="99"/>
    <w:unhideWhenUsed/>
    <w:rsid w:val="005C2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21CC"/>
    <w:rPr>
      <w:rFonts w:ascii="Calibri" w:eastAsia="Calibri" w:hAnsi="Calibri" w:cs="Calibri"/>
      <w:lang w:eastAsia="zh-CN"/>
    </w:rPr>
  </w:style>
  <w:style w:type="character" w:styleId="ad">
    <w:name w:val="FollowedHyperlink"/>
    <w:basedOn w:val="a0"/>
    <w:uiPriority w:val="99"/>
    <w:semiHidden/>
    <w:unhideWhenUsed/>
    <w:rsid w:val="00907F2C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pozharnaya-i-promishlennaya-bezopasnost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invitation@webina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cntd.ru/about/events/webinars/pozharnaya-i-promishlennaya-bezopasnost" TargetMode="Externa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my.kodek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mailto:webinar@kodeks.ru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invitation@webinar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.me/bezopasnos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Вера Борисовна</dc:creator>
  <cp:keywords/>
  <dc:description/>
  <cp:lastModifiedBy>Игорь Бирюков</cp:lastModifiedBy>
  <cp:revision>13</cp:revision>
  <cp:lastPrinted>2025-10-28T07:23:00Z</cp:lastPrinted>
  <dcterms:created xsi:type="dcterms:W3CDTF">2025-10-28T07:44:00Z</dcterms:created>
  <dcterms:modified xsi:type="dcterms:W3CDTF">2026-06-17T13:22:00Z</dcterms:modified>
</cp:coreProperties>
</file>