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A82F10" w14:textId="77777777" w:rsidR="005244B7" w:rsidRDefault="005244B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7E2279D6" w14:textId="77777777" w:rsidR="005244B7" w:rsidRPr="001037B3" w:rsidRDefault="005244B7" w:rsidP="001037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0BA8FEDB" w14:textId="77777777" w:rsidR="005244B7" w:rsidRDefault="005244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6D45D1A0" w14:textId="77777777" w:rsidR="005244B7" w:rsidRPr="00EA3B5F" w:rsidRDefault="005244B7" w:rsidP="00EA3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D271B6" w:rsidRPr="00D271B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Расчет размера резервов финансовых ресурсов для ликвидации ЧС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5244B7" w14:paraId="65D58C5C" w14:textId="77777777">
        <w:tc>
          <w:tcPr>
            <w:tcW w:w="4112" w:type="dxa"/>
          </w:tcPr>
          <w:p w14:paraId="2A87DE90" w14:textId="77777777" w:rsidR="005244B7" w:rsidRPr="001C1FF3" w:rsidRDefault="00D271B6" w:rsidP="00B719AB">
            <w:pPr>
              <w:spacing w:after="0" w:line="240" w:lineRule="auto"/>
              <w:ind w:lef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августа</w:t>
            </w:r>
            <w:r w:rsidR="00EA3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5244B7" w:rsidRPr="001C1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6" w:type="dxa"/>
          </w:tcPr>
          <w:p w14:paraId="39720278" w14:textId="77777777" w:rsidR="005244B7" w:rsidRDefault="00553611" w:rsidP="00B719AB">
            <w:pPr>
              <w:spacing w:after="0" w:line="240" w:lineRule="auto"/>
              <w:ind w:firstLine="426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10:00 до 11:3</w:t>
            </w:r>
            <w:r w:rsidR="00EA3B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>мск</w:t>
            </w:r>
            <w:proofErr w:type="spellEnd"/>
          </w:p>
        </w:tc>
      </w:tr>
    </w:tbl>
    <w:p w14:paraId="4C768C4C" w14:textId="77777777" w:rsidR="005244B7" w:rsidRDefault="00524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F12881" w14:textId="77777777" w:rsidR="004A31A5" w:rsidRDefault="004A31A5" w:rsidP="004A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E7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434C66">
        <w:rPr>
          <w:rFonts w:ascii="Times New Roman" w:hAnsi="Times New Roman" w:cs="Times New Roman"/>
          <w:sz w:val="24"/>
          <w:szCs w:val="24"/>
        </w:rPr>
        <w:t xml:space="preserve">для </w:t>
      </w:r>
      <w:r w:rsidRPr="00C32EE7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D32D25">
        <w:rPr>
          <w:rFonts w:ascii="Times New Roman" w:hAnsi="Times New Roman" w:cs="Times New Roman"/>
          <w:sz w:val="24"/>
          <w:szCs w:val="24"/>
        </w:rPr>
        <w:t>в области ГО и ЧС</w:t>
      </w:r>
      <w:r w:rsidR="00434C66">
        <w:rPr>
          <w:rFonts w:ascii="Times New Roman" w:hAnsi="Times New Roman" w:cs="Times New Roman"/>
          <w:sz w:val="24"/>
          <w:szCs w:val="24"/>
        </w:rPr>
        <w:t>.</w:t>
      </w:r>
    </w:p>
    <w:p w14:paraId="10ABE875" w14:textId="77777777" w:rsidR="005244B7" w:rsidRDefault="005244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2E019344" w14:textId="77777777" w:rsidR="00641EBF" w:rsidRDefault="005244B7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программе вебинара:</w:t>
      </w:r>
    </w:p>
    <w:p w14:paraId="0D7B6B7A" w14:textId="77777777" w:rsidR="00641EBF" w:rsidRPr="00641EBF" w:rsidRDefault="00641EBF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2D6DDA4" w14:textId="77777777" w:rsidR="00E7617A" w:rsidRDefault="00D271B6" w:rsidP="00E7617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1B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Нормативно-правовое регулирование и правовые основы создания финансовых ресурсов для предупреждения и ликвидации ЧС</w:t>
      </w:r>
      <w:r w:rsidR="00E761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Назначение.</w:t>
      </w:r>
    </w:p>
    <w:p w14:paraId="1801D0DF" w14:textId="77777777" w:rsidR="00E7617A" w:rsidRDefault="00D271B6" w:rsidP="00D271B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1B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Общие положения расчета резерва финансовых ресурсов для ликвидации чрезвычайных ситуаций природного и техногенного характера.</w:t>
      </w:r>
    </w:p>
    <w:p w14:paraId="18B6AAE5" w14:textId="77777777" w:rsidR="00E7617A" w:rsidRDefault="00D271B6" w:rsidP="00D271B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1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Методические основы порядка определения размера резервов финансовых ресурсов.</w:t>
      </w:r>
    </w:p>
    <w:p w14:paraId="32C6C94A" w14:textId="77777777" w:rsidR="00E7617A" w:rsidRDefault="00D271B6" w:rsidP="00D271B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1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Пример проведения расчета резервов финансо</w:t>
      </w:r>
      <w:r w:rsidR="00E761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вых ресурсов для ликвидации ЧС.</w:t>
      </w:r>
    </w:p>
    <w:p w14:paraId="0F24FB45" w14:textId="77777777" w:rsidR="00E7617A" w:rsidRDefault="00D271B6" w:rsidP="00D271B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1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Возможные сценарии распределения финансовых резервов в соответствии с действующими требованиями законодательства.</w:t>
      </w:r>
    </w:p>
    <w:p w14:paraId="18C84250" w14:textId="77777777" w:rsidR="00D271B6" w:rsidRPr="00E7617A" w:rsidRDefault="00D271B6" w:rsidP="00D271B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17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Порядок утверждения рассчитанного резерва финансовых ресурсов для предупреждения и ликвидации ЧС в организации.</w:t>
      </w:r>
    </w:p>
    <w:p w14:paraId="55A4AC09" w14:textId="77777777" w:rsidR="00D271B6" w:rsidRDefault="00D271B6" w:rsidP="00D271B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968BF38" w14:textId="77777777" w:rsidR="005244B7" w:rsidRDefault="005244B7" w:rsidP="00D271B6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327C9B0A" w14:textId="77777777" w:rsidR="004D2843" w:rsidRDefault="004D2843" w:rsidP="00E879AB">
      <w:pPr>
        <w:spacing w:after="0" w:line="240" w:lineRule="auto"/>
      </w:pPr>
    </w:p>
    <w:p w14:paraId="7154A459" w14:textId="77777777" w:rsidR="00641EBF" w:rsidRPr="00250AE1" w:rsidRDefault="00091E4C" w:rsidP="00E879AB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- </w:t>
      </w:r>
      <w:r w:rsidRPr="004D2843">
        <w:rPr>
          <w:b/>
          <w:i w:val="0"/>
          <w:iCs w:val="0"/>
          <w:color w:val="000000"/>
          <w:sz w:val="24"/>
          <w:szCs w:val="24"/>
        </w:rPr>
        <w:t>Данилов Илья Ильич</w:t>
      </w:r>
      <w:r w:rsidR="00ED2DD4">
        <w:rPr>
          <w:i w:val="0"/>
          <w:iCs w:val="0"/>
          <w:color w:val="000000"/>
          <w:sz w:val="24"/>
          <w:szCs w:val="24"/>
        </w:rPr>
        <w:t>, а</w:t>
      </w:r>
      <w:r w:rsidRPr="00091E4C">
        <w:rPr>
          <w:i w:val="0"/>
          <w:iCs w:val="0"/>
          <w:color w:val="000000"/>
          <w:sz w:val="24"/>
          <w:szCs w:val="24"/>
        </w:rPr>
        <w:t>ттестованный эксперт в</w:t>
      </w:r>
      <w:r w:rsidR="00ED2DD4">
        <w:rPr>
          <w:i w:val="0"/>
          <w:iCs w:val="0"/>
          <w:color w:val="000000"/>
          <w:sz w:val="24"/>
          <w:szCs w:val="24"/>
        </w:rPr>
        <w:t xml:space="preserve"> области ГО и ЧС, директор МКУ </w:t>
      </w:r>
      <w:r w:rsidR="004D2843">
        <w:rPr>
          <w:i w:val="0"/>
          <w:iCs w:val="0"/>
          <w:color w:val="000000"/>
          <w:sz w:val="24"/>
          <w:szCs w:val="24"/>
        </w:rPr>
        <w:t>«</w:t>
      </w:r>
      <w:r w:rsidRPr="00091E4C">
        <w:rPr>
          <w:i w:val="0"/>
          <w:iCs w:val="0"/>
          <w:color w:val="000000"/>
          <w:sz w:val="24"/>
          <w:szCs w:val="24"/>
        </w:rPr>
        <w:t>Управление по делам гражданской обороны и чрезвычайны</w:t>
      </w:r>
      <w:r w:rsidR="004D2843">
        <w:rPr>
          <w:i w:val="0"/>
          <w:iCs w:val="0"/>
          <w:color w:val="000000"/>
          <w:sz w:val="24"/>
          <w:szCs w:val="24"/>
        </w:rPr>
        <w:t>м ситуациям Суздальского района»;</w:t>
      </w:r>
      <w:r w:rsidR="000B326C" w:rsidRPr="00250AE1">
        <w:rPr>
          <w:i w:val="0"/>
          <w:iCs w:val="0"/>
          <w:color w:val="000000"/>
          <w:sz w:val="24"/>
          <w:szCs w:val="24"/>
        </w:rPr>
        <w:t xml:space="preserve"> </w:t>
      </w:r>
      <w:r w:rsidR="00E879AB">
        <w:rPr>
          <w:i w:val="0"/>
          <w:iCs w:val="0"/>
          <w:color w:val="000000"/>
          <w:sz w:val="24"/>
          <w:szCs w:val="24"/>
        </w:rPr>
        <w:br/>
      </w:r>
    </w:p>
    <w:p w14:paraId="5731E2BE" w14:textId="77777777" w:rsidR="00C71C17" w:rsidRDefault="00ED2DD4" w:rsidP="00E879AB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- </w:t>
      </w:r>
      <w:r w:rsidR="001A3DE6" w:rsidRPr="001A3DE6">
        <w:rPr>
          <w:b/>
          <w:i w:val="0"/>
          <w:iCs w:val="0"/>
          <w:color w:val="000000"/>
          <w:sz w:val="24"/>
          <w:szCs w:val="24"/>
        </w:rPr>
        <w:t>Соколов</w:t>
      </w:r>
      <w:r w:rsidR="007C3129">
        <w:rPr>
          <w:b/>
          <w:i w:val="0"/>
          <w:iCs w:val="0"/>
          <w:color w:val="000000"/>
          <w:sz w:val="24"/>
          <w:szCs w:val="24"/>
        </w:rPr>
        <w:t xml:space="preserve"> Роман Сергеевич</w:t>
      </w:r>
      <w:r w:rsidR="001A3DE6" w:rsidRPr="001A3DE6">
        <w:rPr>
          <w:b/>
          <w:i w:val="0"/>
          <w:iCs w:val="0"/>
          <w:color w:val="000000"/>
          <w:sz w:val="24"/>
          <w:szCs w:val="24"/>
        </w:rPr>
        <w:t xml:space="preserve">, </w:t>
      </w:r>
      <w:r w:rsidR="001A3DE6" w:rsidRPr="001A3DE6">
        <w:rPr>
          <w:i w:val="0"/>
          <w:iCs w:val="0"/>
          <w:color w:val="000000"/>
          <w:sz w:val="24"/>
          <w:szCs w:val="24"/>
        </w:rPr>
        <w:t>эксперт проектов «Техэксперт» по производственной безопасности.</w:t>
      </w:r>
    </w:p>
    <w:p w14:paraId="2FD468F8" w14:textId="77777777" w:rsidR="005244B7" w:rsidRDefault="005244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02CBB2B0" w14:textId="77777777" w:rsidR="005244B7" w:rsidRPr="001A3DE6" w:rsidRDefault="005244B7">
      <w:pPr>
        <w:shd w:val="clear" w:color="auto" w:fill="FFFFFF"/>
        <w:spacing w:after="0" w:line="240" w:lineRule="auto"/>
      </w:pPr>
      <w:r w:rsidRPr="001A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1A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5B92AD14" w14:textId="77777777" w:rsidR="005244B7" w:rsidRDefault="005244B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2506B961" w14:textId="77777777" w:rsidR="005244B7" w:rsidRDefault="005244B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0E0271F1" w14:textId="77777777" w:rsidR="00680EB6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Пройдите регистрацию </w:t>
      </w:r>
      <w:r w:rsidR="004A48FC">
        <w:rPr>
          <w:rFonts w:ascii="Times New Roman" w:hAnsi="Times New Roman"/>
          <w:b/>
          <w:iCs/>
          <w:sz w:val="24"/>
          <w:szCs w:val="24"/>
        </w:rPr>
        <w:t xml:space="preserve">до </w:t>
      </w:r>
      <w:r w:rsidR="007C3129">
        <w:rPr>
          <w:rFonts w:ascii="Times New Roman" w:hAnsi="Times New Roman"/>
          <w:b/>
          <w:iCs/>
          <w:sz w:val="24"/>
          <w:szCs w:val="24"/>
        </w:rPr>
        <w:t xml:space="preserve">19 августа </w:t>
      </w:r>
      <w:r w:rsidRPr="00B94038">
        <w:rPr>
          <w:rFonts w:ascii="Times New Roman" w:hAnsi="Times New Roman"/>
          <w:iCs/>
          <w:sz w:val="24"/>
          <w:szCs w:val="24"/>
        </w:rPr>
        <w:t>по</w:t>
      </w:r>
      <w:r w:rsidR="001037B3">
        <w:rPr>
          <w:rFonts w:ascii="Times New Roman" w:hAnsi="Times New Roman"/>
          <w:iCs/>
          <w:sz w:val="24"/>
          <w:szCs w:val="24"/>
        </w:rPr>
        <w:t xml:space="preserve"> </w:t>
      </w:r>
      <w:hyperlink r:id="rId7" w:history="1">
        <w:r w:rsidRPr="001A3DE6">
          <w:rPr>
            <w:rStyle w:val="a7"/>
            <w:rFonts w:ascii="Times New Roman" w:hAnsi="Times New Roman"/>
            <w:iCs/>
            <w:sz w:val="24"/>
            <w:szCs w:val="24"/>
          </w:rPr>
          <w:t>ссылке</w:t>
        </w:r>
      </w:hyperlink>
      <w:r>
        <w:rPr>
          <w:rFonts w:ascii="Times New Roman" w:hAnsi="Times New Roman"/>
          <w:iCs/>
          <w:sz w:val="24"/>
          <w:szCs w:val="24"/>
        </w:rPr>
        <w:t>;</w:t>
      </w:r>
      <w:r w:rsidR="00680EB6">
        <w:rPr>
          <w:rFonts w:ascii="Times New Roman" w:hAnsi="Times New Roman"/>
          <w:iCs/>
          <w:sz w:val="24"/>
          <w:szCs w:val="24"/>
        </w:rPr>
        <w:t xml:space="preserve"> </w:t>
      </w:r>
    </w:p>
    <w:p w14:paraId="0ED9EAC5" w14:textId="3BA158CF" w:rsidR="005244B7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ВАЖНО! При регистрации укажите </w:t>
      </w:r>
      <w:r w:rsidRPr="000308B2">
        <w:rPr>
          <w:rFonts w:ascii="Times New Roman" w:hAnsi="Times New Roman"/>
          <w:b/>
          <w:bCs/>
          <w:iCs/>
          <w:sz w:val="28"/>
          <w:szCs w:val="28"/>
          <w:highlight w:val="yellow"/>
        </w:rPr>
        <w:t xml:space="preserve">КОД: </w:t>
      </w:r>
      <w:r w:rsidR="000308B2" w:rsidRPr="000308B2">
        <w:rPr>
          <w:rFonts w:ascii="Times New Roman" w:hAnsi="Times New Roman"/>
          <w:b/>
          <w:bCs/>
          <w:iCs/>
          <w:sz w:val="28"/>
          <w:szCs w:val="28"/>
          <w:highlight w:val="yellow"/>
        </w:rPr>
        <w:t>622</w:t>
      </w:r>
    </w:p>
    <w:p w14:paraId="59102E3A" w14:textId="77777777" w:rsidR="005244B7" w:rsidRDefault="005244B7" w:rsidP="0030047C">
      <w:pPr>
        <w:pStyle w:val="af5"/>
        <w:tabs>
          <w:tab w:val="left" w:pos="426"/>
        </w:tabs>
        <w:spacing w:after="0" w:line="240" w:lineRule="auto"/>
        <w:ind w:left="0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После регистрации вы получите письмо с подтверждением участия в вебинаре и ссылку для подключения. </w:t>
      </w:r>
    </w:p>
    <w:p w14:paraId="5CCA5CC8" w14:textId="77777777" w:rsidR="00777162" w:rsidRDefault="00777162" w:rsidP="0030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64C35" w14:textId="77777777" w:rsidR="005244B7" w:rsidRPr="00D271B6" w:rsidRDefault="005244B7" w:rsidP="0030047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Участие в вебинаре бесплатное.</w:t>
      </w:r>
    </w:p>
    <w:p w14:paraId="3BB66824" w14:textId="77777777" w:rsidR="005244B7" w:rsidRPr="000B326C" w:rsidRDefault="005244B7" w:rsidP="0030047C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5FC61394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EA0130" w14:textId="77777777" w:rsidR="005244B7" w:rsidRDefault="005244B7" w:rsidP="0030047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регистрации и технические требования находятся ниже.</w:t>
      </w:r>
    </w:p>
    <w:p w14:paraId="483C61E8" w14:textId="77777777" w:rsidR="005244B7" w:rsidRDefault="005244B7" w:rsidP="003004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F84E875" w14:textId="77777777" w:rsidR="005244B7" w:rsidRDefault="005244B7" w:rsidP="0030047C">
      <w:p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38D6AEEA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F011BC1" w14:textId="77777777" w:rsidR="005244B7" w:rsidRDefault="005244B7" w:rsidP="0030047C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 вебинара: </w:t>
      </w:r>
      <w:r w:rsidR="007C312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20</w:t>
      </w:r>
      <w:r w:rsidR="004A48F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7C312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B262D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</w:t>
      </w:r>
      <w:r w:rsidR="007C312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густа</w:t>
      </w:r>
      <w:r w:rsidR="001A3DE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с 10:00 до 1</w:t>
      </w:r>
      <w:r w:rsidR="00553611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553611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1A3DE6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</w:p>
    <w:p w14:paraId="08927F4D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772A6BAF" w14:textId="77777777" w:rsidR="005244B7" w:rsidRDefault="005244B7" w:rsidP="0030047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свяжитесь с модератором, отправив запрос на адрес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</w:p>
    <w:p w14:paraId="31721A0D" w14:textId="77777777" w:rsidR="005244B7" w:rsidRDefault="005244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15E39C5" w14:textId="77777777" w:rsidR="005244B7" w:rsidRDefault="00ED12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16DAF444" w14:textId="77777777" w:rsidR="00ED12D6" w:rsidRDefault="00ED12D6" w:rsidP="00ED12D6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lastRenderedPageBreak/>
        <w:t>ИНСТРУКЦИЯ ПО РЕГИСТРАЦИИ НА ВЕБИНАР</w:t>
      </w:r>
    </w:p>
    <w:p w14:paraId="68D982EF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7B80F2EF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</w:p>
    <w:p w14:paraId="1CF4B6C2" w14:textId="77777777" w:rsidR="00ED12D6" w:rsidRDefault="00ED12D6" w:rsidP="00ED12D6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7313F4BC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454B3A90" wp14:editId="7212797B">
            <wp:extent cx="6486525" cy="2847975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0BC58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3466531D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548F3C87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1611DB57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14:paraId="46185958" w14:textId="77777777" w:rsidR="00ED12D6" w:rsidRDefault="007C3129" w:rsidP="00ED12D6">
      <w:pPr>
        <w:autoSpaceDE w:val="0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49CB5559" wp14:editId="1896264E">
            <wp:extent cx="5514975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5C6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3A6E010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292993E7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3B1BC728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5A0C37D9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3B412E3" w14:textId="77777777" w:rsidR="00ED12D6" w:rsidRDefault="00ED12D6" w:rsidP="00C2037B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E4561A3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66BF7584" w14:textId="77777777" w:rsidR="00ED12D6" w:rsidRDefault="00ED12D6" w:rsidP="00C203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1C7531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14:paraId="76CAF88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AD8A8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13A8CA32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48322F" wp14:editId="7435C042">
            <wp:extent cx="323850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1" r="-2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8F8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CBB35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BACCCA7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7DA4AA3" wp14:editId="3C6E45AD">
            <wp:extent cx="4010025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43" r="-2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02A7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568E4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4. Перейдите по ссылке из письма.</w:t>
      </w:r>
    </w:p>
    <w:p w14:paraId="189DB3FB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73DE5A" wp14:editId="1126211A">
            <wp:extent cx="4067175" cy="255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5" r="-2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6AC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22BF1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61099FC2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ED0A667" wp14:editId="258CB3F5">
            <wp:extent cx="3829050" cy="453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2BD7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14:paraId="206BCFA8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1E07F45" wp14:editId="3C7F358F">
            <wp:extent cx="6477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2DC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8C268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AE079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65244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После регистрации на вебинар на адрес, указанный в заявке, вам сразу будет отправлено автоматическое письмо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подтверждение регистрации с адреса </w:t>
      </w:r>
      <w:hyperlink r:id="rId17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012ED45A" w14:textId="77777777" w:rsidR="00C37C68" w:rsidRDefault="00C37C68" w:rsidP="00ED12D6">
      <w:pPr>
        <w:autoSpaceDE w:val="0"/>
        <w:spacing w:after="0" w:line="240" w:lineRule="auto"/>
        <w:jc w:val="both"/>
      </w:pPr>
    </w:p>
    <w:p w14:paraId="7C953883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7369154" wp14:editId="03723051">
            <wp:extent cx="6477000" cy="3752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0629" w14:textId="77777777" w:rsidR="00C37C68" w:rsidRPr="00C37C68" w:rsidRDefault="00C37C68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706E192E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347089F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2722784E" w14:textId="77777777" w:rsidR="00ED12D6" w:rsidRDefault="00ED12D6" w:rsidP="00C203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AC8F98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«Авторизируйтесь».</w:t>
      </w:r>
    </w:p>
    <w:p w14:paraId="1B19F87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5E35E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В открывшемся окне введите свои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логин и пароль.</w:t>
      </w:r>
    </w:p>
    <w:p w14:paraId="0F462FF1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EB43D03" wp14:editId="4F546865">
            <wp:extent cx="3448050" cy="2324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2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E84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418AD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Нажмите кнопку «Зареги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стрироваться на вебинар». После этого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вам откроется форма для регистрации на интересующий вас вебинар. Заполните форму и нажмите «Отправить». </w:t>
      </w:r>
    </w:p>
    <w:p w14:paraId="3C785523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C329AD" wp14:editId="47DEF471">
            <wp:extent cx="3000375" cy="3524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7034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F63D7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AA01927" w14:textId="77777777" w:rsidR="00C37C68" w:rsidRDefault="00C37C68" w:rsidP="00ED12D6">
      <w:pPr>
        <w:autoSpaceDE w:val="0"/>
        <w:spacing w:after="0" w:line="240" w:lineRule="auto"/>
        <w:jc w:val="both"/>
      </w:pPr>
    </w:p>
    <w:p w14:paraId="7AF1C5BB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77CF573" wp14:editId="0FE1271B">
            <wp:extent cx="6477000" cy="257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8B9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673F6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подтверждение регистрации с адреса </w:t>
      </w:r>
      <w:hyperlink r:id="rId21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06F73B1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A1B1F3" w14:textId="77777777" w:rsidR="00ED12D6" w:rsidRDefault="007C312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A5E0B1" wp14:editId="35A9D4BF">
            <wp:extent cx="5086350" cy="2943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88A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6B2C2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B8AE5C9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9E1A47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62C97E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ED8CD5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4AC2C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ВАЖНО!</w:t>
      </w:r>
    </w:p>
    <w:p w14:paraId="551FE26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33E530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49040EC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BB8D7D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3D3C44B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C26025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2" w:history="1">
        <w:r>
          <w:rPr>
            <w:rStyle w:val="a7"/>
            <w:rFonts w:ascii="Arial" w:hAnsi="Arial" w:cs="Arial"/>
            <w:color w:val="FF7200"/>
            <w:sz w:val="23"/>
            <w:szCs w:val="23"/>
          </w:rPr>
          <w:t>webinar@kodeks.ru</w:t>
        </w:r>
      </w:hyperlink>
    </w:p>
    <w:p w14:paraId="6935A5B7" w14:textId="77777777" w:rsidR="00ED12D6" w:rsidRDefault="00ED12D6" w:rsidP="00ED12D6">
      <w:pPr>
        <w:autoSpaceDE w:val="0"/>
        <w:spacing w:after="0" w:line="240" w:lineRule="auto"/>
        <w:jc w:val="both"/>
      </w:pPr>
    </w:p>
    <w:p w14:paraId="4A2347F4" w14:textId="77777777" w:rsidR="00ED12D6" w:rsidRDefault="00ED12D6" w:rsidP="00ED12D6">
      <w:pPr>
        <w:autoSpaceDE w:val="0"/>
        <w:spacing w:after="0" w:line="240" w:lineRule="auto"/>
        <w:jc w:val="both"/>
      </w:pPr>
    </w:p>
    <w:p w14:paraId="468C39C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9059FD" w14:textId="77777777" w:rsidR="00ED12D6" w:rsidRDefault="00ED12D6" w:rsidP="00ED12D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18D8ED3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55113A8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сети:</w:t>
      </w:r>
    </w:p>
    <w:p w14:paraId="11006927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EB18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2F7DFA1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0EEF061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2CA594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IP-адреса:</w:t>
      </w:r>
    </w:p>
    <w:p w14:paraId="27CF00D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37.130.192.0/22</w:t>
      </w:r>
    </w:p>
    <w:p w14:paraId="4B5FCCA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185.45.80.0/22</w:t>
      </w:r>
    </w:p>
    <w:p w14:paraId="353A713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Порты/протоколы</w:t>
      </w:r>
    </w:p>
    <w:p w14:paraId="1E16295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80/HTTP</w:t>
      </w:r>
    </w:p>
    <w:p w14:paraId="533BD63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443/TCP</w:t>
      </w:r>
    </w:p>
    <w:p w14:paraId="3995513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443/UDP</w:t>
      </w:r>
    </w:p>
    <w:p w14:paraId="3058CFD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proxy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5A2B564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99F1C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Рекомендуемая свободная ширина интернет-канала:</w:t>
      </w:r>
    </w:p>
    <w:p w14:paraId="6BDE4A05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Низкое (640x360,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500 Кбит/с</w:t>
      </w:r>
    </w:p>
    <w:p w14:paraId="49CA8805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Среднее (960x540,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900 Кбит/с</w:t>
      </w:r>
    </w:p>
    <w:p w14:paraId="79D0F85C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Высокое (1280x720,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1700 Кбит/с</w:t>
      </w:r>
    </w:p>
    <w:p w14:paraId="60D4EBB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64977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оборудованию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:</w:t>
      </w:r>
    </w:p>
    <w:p w14:paraId="25146A7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Рекомендуемые</w:t>
      </w:r>
    </w:p>
    <w:p w14:paraId="1B45C2E2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i5 6-го поколения или аналогичный</w:t>
      </w:r>
    </w:p>
    <w:p w14:paraId="5E52158B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8 ГБ</w:t>
      </w:r>
    </w:p>
    <w:p w14:paraId="0E114D3E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1920×1080</w:t>
      </w:r>
    </w:p>
    <w:p w14:paraId="48CCEB89" w14:textId="77777777" w:rsidR="00ED12D6" w:rsidRDefault="00ED12D6" w:rsidP="00ED12D6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874C075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</w:t>
      </w:r>
    </w:p>
    <w:p w14:paraId="3208329B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i3 6-го поколения или аналогичный</w:t>
      </w:r>
    </w:p>
    <w:p w14:paraId="7F8A1F93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4 ГБ</w:t>
      </w:r>
    </w:p>
    <w:p w14:paraId="70EA3E3D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1024x768</w:t>
      </w:r>
    </w:p>
    <w:p w14:paraId="6562A378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на более слабом клиентском оборудовании не гарантируется и возможна с ограничениями. </w:t>
      </w:r>
    </w:p>
    <w:p w14:paraId="14260F6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32ACAD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Аудио- и в</w:t>
      </w:r>
      <w:r w:rsidR="003B0AD6">
        <w:rPr>
          <w:rFonts w:ascii="Times New Roman" w:eastAsia="Times New Roman" w:hAnsi="Times New Roman"/>
          <w:b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устройства:</w:t>
      </w:r>
    </w:p>
    <w:p w14:paraId="6BB3CEA6" w14:textId="77777777" w:rsidR="00ED12D6" w:rsidRDefault="00ED12D6" w:rsidP="00ED12D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Наушники или колонки (для просмотра вебинара)</w:t>
      </w:r>
    </w:p>
    <w:p w14:paraId="6C0BB9E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E6C515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6823701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32905523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Chrome</w:t>
      </w:r>
      <w:proofErr w:type="spellEnd"/>
    </w:p>
    <w:p w14:paraId="661EE253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Яндекс.Браузер</w:t>
      </w:r>
      <w:proofErr w:type="spellEnd"/>
    </w:p>
    <w:p w14:paraId="49DD765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5012194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Операционная система</w:t>
      </w:r>
    </w:p>
    <w:p w14:paraId="615FEC84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Минимальные поддерживаемые версии</w:t>
      </w:r>
    </w:p>
    <w:p w14:paraId="3801613D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Windows 7</w:t>
      </w:r>
    </w:p>
    <w:p w14:paraId="27FC4079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10.10</w:t>
      </w:r>
    </w:p>
    <w:p w14:paraId="1342173C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</w:p>
    <w:p w14:paraId="698211E4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</w:p>
    <w:p w14:paraId="3DF54167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в ОС семейства Linux возможна, но не гарантируется.</w:t>
      </w:r>
    </w:p>
    <w:p w14:paraId="04DAE3A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5BA82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Используемые протоколы и кодеки</w:t>
      </w:r>
    </w:p>
    <w:p w14:paraId="434F9685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WebRTC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(H.264/Opus)</w:t>
      </w:r>
    </w:p>
    <w:p w14:paraId="5F4E53CA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Энкодер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RTMP/RTMPS (H.264/AAC)</w:t>
      </w:r>
    </w:p>
    <w:p w14:paraId="5AF166A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FC726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Шифрование трафика</w:t>
      </w:r>
    </w:p>
    <w:p w14:paraId="64BCDF4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3CCECAA9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4198BF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8DD20B" w14:textId="77777777" w:rsidR="00ED12D6" w:rsidRDefault="00ED12D6" w:rsidP="00ED12D6">
      <w:pPr>
        <w:spacing w:after="0"/>
        <w:jc w:val="center"/>
        <w:rPr>
          <w:rFonts w:ascii="Times New Roman" w:eastAsia="Times New Roman" w:hAnsi="Times New Roman"/>
          <w:b/>
          <w:bCs/>
          <w:color w:val="365F91"/>
          <w:sz w:val="28"/>
          <w:szCs w:val="24"/>
        </w:rPr>
      </w:pPr>
    </w:p>
    <w:p w14:paraId="32BFD719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4ABB187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C63A8B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C0D0AB" w14:textId="77777777" w:rsidR="00ED12D6" w:rsidRDefault="00ED12D6" w:rsidP="00ED12D6">
      <w:pPr>
        <w:spacing w:after="0" w:line="240" w:lineRule="auto"/>
        <w:ind w:right="-2"/>
        <w:jc w:val="both"/>
      </w:pPr>
    </w:p>
    <w:p w14:paraId="041218BA" w14:textId="77777777" w:rsidR="005244B7" w:rsidRDefault="005244B7" w:rsidP="00ED12D6">
      <w:pPr>
        <w:autoSpaceDE w:val="0"/>
        <w:spacing w:after="0" w:line="240" w:lineRule="auto"/>
        <w:ind w:left="1080"/>
      </w:pPr>
    </w:p>
    <w:sectPr w:rsidR="005244B7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6A33" w14:textId="77777777" w:rsidR="005A68F4" w:rsidRDefault="005A68F4">
      <w:pPr>
        <w:spacing w:after="0" w:line="240" w:lineRule="auto"/>
      </w:pPr>
      <w:r>
        <w:separator/>
      </w:r>
    </w:p>
  </w:endnote>
  <w:endnote w:type="continuationSeparator" w:id="0">
    <w:p w14:paraId="5451ABC1" w14:textId="77777777" w:rsidR="005A68F4" w:rsidRDefault="005A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47C6" w14:textId="77777777" w:rsidR="005244B7" w:rsidRDefault="005244B7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  <w:r>
      <w:rPr>
        <w:rFonts w:ascii="Times New Roman" w:hAnsi="Times New Roman" w:cs="Times New Roman"/>
        <w:b/>
        <w:bCs/>
        <w:color w:val="000000"/>
        <w:szCs w:val="24"/>
      </w:rPr>
      <w:t xml:space="preserve">Присоединяйтесь к профессиональному сообществу </w:t>
    </w:r>
    <w:r w:rsidR="000E2C3C" w:rsidRPr="000E2C3C">
      <w:rPr>
        <w:rFonts w:ascii="Times New Roman" w:hAnsi="Times New Roman" w:cs="Times New Roman"/>
        <w:b/>
        <w:bCs/>
        <w:color w:val="000000"/>
        <w:szCs w:val="24"/>
      </w:rPr>
      <w:t xml:space="preserve">Техэксперт: Охрана труда и безопасность  </w:t>
    </w:r>
    <w:hyperlink r:id="rId1" w:history="1">
      <w:r w:rsidR="000E2C3C" w:rsidRPr="002D24AE">
        <w:rPr>
          <w:rStyle w:val="a7"/>
          <w:rFonts w:ascii="Times New Roman" w:hAnsi="Times New Roman" w:cs="Times New Roman"/>
          <w:b/>
          <w:bCs/>
          <w:szCs w:val="24"/>
        </w:rPr>
        <w:t>http://t.me/bezopasnosty</w:t>
      </w:r>
    </w:hyperlink>
  </w:p>
  <w:p w14:paraId="31C13951" w14:textId="77777777" w:rsidR="000E2C3C" w:rsidRDefault="000E2C3C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</w:p>
  <w:p w14:paraId="5CC0AFB7" w14:textId="77777777" w:rsidR="000E2C3C" w:rsidRDefault="000E2C3C" w:rsidP="000E2C3C">
    <w:pPr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5E40" w14:textId="77777777" w:rsidR="005A68F4" w:rsidRDefault="005A68F4">
      <w:pPr>
        <w:spacing w:after="0" w:line="240" w:lineRule="auto"/>
      </w:pPr>
      <w:r>
        <w:separator/>
      </w:r>
    </w:p>
  </w:footnote>
  <w:footnote w:type="continuationSeparator" w:id="0">
    <w:p w14:paraId="3E27B00B" w14:textId="77777777" w:rsidR="005A68F4" w:rsidRDefault="005A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E24A" w14:textId="77777777" w:rsidR="005244B7" w:rsidRDefault="007C3129">
    <w:pPr>
      <w:pStyle w:val="af"/>
      <w:jc w:val="center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5F1F3008" wp14:editId="4A8299AB">
          <wp:simplePos x="0" y="0"/>
          <wp:positionH relativeFrom="column">
            <wp:posOffset>-1028700</wp:posOffset>
          </wp:positionH>
          <wp:positionV relativeFrom="paragraph">
            <wp:posOffset>-277495</wp:posOffset>
          </wp:positionV>
          <wp:extent cx="7554595" cy="1358900"/>
          <wp:effectExtent l="0" t="0" r="0" b="0"/>
          <wp:wrapTight wrapText="bothSides">
            <wp:wrapPolygon edited="0">
              <wp:start x="0" y="0"/>
              <wp:lineTo x="0" y="21196"/>
              <wp:lineTo x="21569" y="21196"/>
              <wp:lineTo x="21569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420" r="-75" b="-42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358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noProof/>
        <w:sz w:val="56"/>
        <w:szCs w:val="56"/>
        <w:lang w:eastAsia="ru-RU"/>
      </w:rPr>
      <w:drawing>
        <wp:inline distT="0" distB="0" distL="0" distR="0" wp14:anchorId="0F4E0B24" wp14:editId="400E2BA3">
          <wp:extent cx="2305050" cy="41910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507" r="-92" b="-507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14F1ECD" w14:textId="77777777" w:rsidR="005244B7" w:rsidRDefault="005244B7">
    <w:pPr>
      <w:pStyle w:val="af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D666A47"/>
    <w:multiLevelType w:val="hybridMultilevel"/>
    <w:tmpl w:val="0E0E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5854"/>
    <w:multiLevelType w:val="hybridMultilevel"/>
    <w:tmpl w:val="DBC2525A"/>
    <w:lvl w:ilvl="0" w:tplc="C1C2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85232">
    <w:abstractNumId w:val="0"/>
  </w:num>
  <w:num w:numId="2" w16cid:durableId="489488556">
    <w:abstractNumId w:val="1"/>
  </w:num>
  <w:num w:numId="3" w16cid:durableId="2083945348">
    <w:abstractNumId w:val="2"/>
  </w:num>
  <w:num w:numId="4" w16cid:durableId="1929843472">
    <w:abstractNumId w:val="3"/>
  </w:num>
  <w:num w:numId="5" w16cid:durableId="594092174">
    <w:abstractNumId w:val="4"/>
  </w:num>
  <w:num w:numId="6" w16cid:durableId="2129159398">
    <w:abstractNumId w:val="5"/>
  </w:num>
  <w:num w:numId="7" w16cid:durableId="514073267">
    <w:abstractNumId w:val="7"/>
  </w:num>
  <w:num w:numId="8" w16cid:durableId="1714888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AB"/>
    <w:rsid w:val="000124B2"/>
    <w:rsid w:val="000308B2"/>
    <w:rsid w:val="00062B4D"/>
    <w:rsid w:val="00091E4C"/>
    <w:rsid w:val="00092B18"/>
    <w:rsid w:val="00096B83"/>
    <w:rsid w:val="000B326C"/>
    <w:rsid w:val="000E2C3C"/>
    <w:rsid w:val="00101C75"/>
    <w:rsid w:val="001037B3"/>
    <w:rsid w:val="0012106E"/>
    <w:rsid w:val="0013475D"/>
    <w:rsid w:val="0015090A"/>
    <w:rsid w:val="00177F8F"/>
    <w:rsid w:val="001A3DE6"/>
    <w:rsid w:val="001C1FF3"/>
    <w:rsid w:val="001C6A10"/>
    <w:rsid w:val="00250AE1"/>
    <w:rsid w:val="00254377"/>
    <w:rsid w:val="00254E62"/>
    <w:rsid w:val="00261949"/>
    <w:rsid w:val="002C5993"/>
    <w:rsid w:val="002C5E70"/>
    <w:rsid w:val="002D7F24"/>
    <w:rsid w:val="002F045E"/>
    <w:rsid w:val="002F4998"/>
    <w:rsid w:val="0030047C"/>
    <w:rsid w:val="0030175D"/>
    <w:rsid w:val="00304768"/>
    <w:rsid w:val="0036736A"/>
    <w:rsid w:val="0038650C"/>
    <w:rsid w:val="00393E82"/>
    <w:rsid w:val="00394C85"/>
    <w:rsid w:val="003B0AD6"/>
    <w:rsid w:val="0040124F"/>
    <w:rsid w:val="00434C66"/>
    <w:rsid w:val="004A31A5"/>
    <w:rsid w:val="004A48FC"/>
    <w:rsid w:val="004D2843"/>
    <w:rsid w:val="005244B7"/>
    <w:rsid w:val="00553611"/>
    <w:rsid w:val="005A68F4"/>
    <w:rsid w:val="00641EBF"/>
    <w:rsid w:val="006570BA"/>
    <w:rsid w:val="00680EB6"/>
    <w:rsid w:val="006D3E70"/>
    <w:rsid w:val="00703DF5"/>
    <w:rsid w:val="00712EE0"/>
    <w:rsid w:val="00720009"/>
    <w:rsid w:val="007458EF"/>
    <w:rsid w:val="00777162"/>
    <w:rsid w:val="00792882"/>
    <w:rsid w:val="007B0D47"/>
    <w:rsid w:val="007C3129"/>
    <w:rsid w:val="008001E0"/>
    <w:rsid w:val="00821CF0"/>
    <w:rsid w:val="00967C9D"/>
    <w:rsid w:val="009E2ABD"/>
    <w:rsid w:val="00A23AC1"/>
    <w:rsid w:val="00A4679E"/>
    <w:rsid w:val="00AD48F7"/>
    <w:rsid w:val="00AE2AF4"/>
    <w:rsid w:val="00AE2D80"/>
    <w:rsid w:val="00B262D5"/>
    <w:rsid w:val="00B719AB"/>
    <w:rsid w:val="00B818B3"/>
    <w:rsid w:val="00B94038"/>
    <w:rsid w:val="00BD05CF"/>
    <w:rsid w:val="00C15889"/>
    <w:rsid w:val="00C2037B"/>
    <w:rsid w:val="00C37C68"/>
    <w:rsid w:val="00C71C17"/>
    <w:rsid w:val="00D1598D"/>
    <w:rsid w:val="00D251DF"/>
    <w:rsid w:val="00D271B6"/>
    <w:rsid w:val="00D32D25"/>
    <w:rsid w:val="00D608EA"/>
    <w:rsid w:val="00D7738B"/>
    <w:rsid w:val="00D81FB1"/>
    <w:rsid w:val="00E7617A"/>
    <w:rsid w:val="00E879AB"/>
    <w:rsid w:val="00EA3B5F"/>
    <w:rsid w:val="00ED12D6"/>
    <w:rsid w:val="00ED2DD4"/>
    <w:rsid w:val="00F04215"/>
    <w:rsid w:val="00F56898"/>
    <w:rsid w:val="00F56C0C"/>
    <w:rsid w:val="00F652C9"/>
    <w:rsid w:val="00F74E19"/>
    <w:rsid w:val="00F75CF5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F1BC10"/>
  <w15:docId w15:val="{4DD69570-A23D-4804-80F4-455422E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Основной шрифт абзаца4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2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3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5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rsid w:val="00096B83"/>
    <w:rPr>
      <w:i/>
      <w:iCs/>
      <w:lang w:eastAsia="zh-CN"/>
    </w:rPr>
  </w:style>
  <w:style w:type="character" w:customStyle="1" w:styleId="object">
    <w:name w:val="object"/>
    <w:rsid w:val="0068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pozharnaya-i-promishlennaya-bezopasnost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.me/bezopasnost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6606</CharactersWithSpaces>
  <SharedDoc>false</SharedDoc>
  <HLinks>
    <vt:vector size="54" baseType="variant">
      <vt:variant>
        <vt:i4>5505132</vt:i4>
      </vt:variant>
      <vt:variant>
        <vt:i4>18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15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12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9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3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https://cntd.ru/about/events/webinars/dlya-specialistov-po-ohrane-truda?utm_source=product</vt:lpwstr>
      </vt:variant>
      <vt:variant>
        <vt:lpwstr/>
      </vt:variant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http://t.me/bezopasnosty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4</cp:revision>
  <cp:lastPrinted>2024-04-27T10:30:00Z</cp:lastPrinted>
  <dcterms:created xsi:type="dcterms:W3CDTF">2025-07-23T12:41:00Z</dcterms:created>
  <dcterms:modified xsi:type="dcterms:W3CDTF">2025-07-24T07:39:00Z</dcterms:modified>
</cp:coreProperties>
</file>